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DE" w:rsidRPr="001436DE" w:rsidRDefault="001436DE" w:rsidP="001436DE">
      <w:pPr>
        <w:spacing w:after="0" w:line="312" w:lineRule="atLeast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Deklaracja dostępności cyfrowej dla strony podmiotowej BIP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Gmina Stary Sącz zobowiązuje się zapewnić dostępność swojej strony podmiotowej BIP zgodnie z przepisami ustawy z dnia 4 kwietnia 2019 r. o dostępności cyfrowej stron internetowych i aplikacji mobilnych podmiotów publicznych. Oświadczenie w sprawie dostępności ma zastosowanie do strony podmiotowej BIP </w:t>
      </w:r>
      <w:hyperlink r:id="rId5" w:tooltip="Przejdź do strony" w:history="1">
        <w:r w:rsidRPr="001436DE">
          <w:rPr>
            <w:rFonts w:ascii="Hind" w:eastAsia="Times New Roman" w:hAnsi="Hind" w:cs="Times New Roman"/>
            <w:color w:val="072A60"/>
            <w:u w:val="single"/>
            <w:lang w:eastAsia="pl-PL"/>
          </w:rPr>
          <w:t>https://bip.malopolska.pl/starysacz</w:t>
        </w:r>
      </w:hyperlink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1436DE" w:rsidRPr="001436DE" w:rsidRDefault="001436DE" w:rsidP="001436DE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Dane teleadresowe jednostki: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Urząd Miejski w Starym Sączu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ul. Stefana Batorego 25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Telefon: 18 449 77 06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Fax: 18 446 02 73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 xml:space="preserve">e-mail: </w:t>
      </w:r>
      <w:hyperlink r:id="rId6" w:history="1">
        <w:r w:rsidRPr="001436DE">
          <w:rPr>
            <w:rFonts w:ascii="Hind" w:eastAsia="Times New Roman" w:hAnsi="Hind" w:cs="Times New Roman"/>
            <w:color w:val="072A60"/>
            <w:u w:val="single"/>
            <w:lang w:eastAsia="pl-PL"/>
          </w:rPr>
          <w:t>gmina@starysacz.um.gov.pl</w:t>
        </w:r>
      </w:hyperlink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Data publikacji strony internetowej: 2018-07-30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Data ostatniej istotnej aktualizacji: 2021-01-13</w:t>
      </w:r>
    </w:p>
    <w:p w:rsidR="001436DE" w:rsidRPr="001436DE" w:rsidRDefault="001436DE" w:rsidP="001436DE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Strona podmiotowa BIP jest częściowo zgodna z ustawą z dnia 4 kwietnia 2019 r. o dostępności cyfrowej stron internetowych i aplikacji mobilnych podmiotów publicznych z powodu niezgodności lub wyłączeń wymienionych poniżej:</w:t>
      </w:r>
    </w:p>
    <w:p w:rsidR="001436DE" w:rsidRPr="001436DE" w:rsidRDefault="001436DE" w:rsidP="001436DE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zamieszczone na stronie publikacje w formacie plików PDF lub skany dokumentów nie są dostępne cyfrowo  w całości, zostały opublikowane przed 2018-09-23 lub nie są wykorzystywane do realizacji bieżących zadań Urzędu Miejskiego w Starym Sączu,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opublikowane zdjęcia nie posiadają opisu alternatywnego, zostały opublikowane przed 2018-09-23,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poprawienie dostępności wszystkich dokumentów na dostępne cyfrowo niosłoby za sobą nadmierne obciążenie dla podmiotu publicznego,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mapy są wyłączone z obowiązku zapewnienia dostępności,</w:t>
      </w:r>
    </w:p>
    <w:p w:rsidR="001436DE" w:rsidRPr="001436DE" w:rsidRDefault="001436DE" w:rsidP="001436DE">
      <w:pPr>
        <w:numPr>
          <w:ilvl w:val="0"/>
          <w:numId w:val="1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w miarę możliwości będziemy dokładać wszelkich starań by nowe dokumenty przygotowywane były poprawnie.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:rsidR="001436DE" w:rsidRPr="001436DE" w:rsidRDefault="001436DE" w:rsidP="001436DE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:rsidR="001436DE" w:rsidRPr="001436DE" w:rsidRDefault="001436DE" w:rsidP="001436DE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powiększenia wielkości liter na stronie</w:t>
      </w:r>
    </w:p>
    <w:p w:rsidR="001436DE" w:rsidRPr="001436DE" w:rsidRDefault="001436DE" w:rsidP="001436DE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:rsidR="001436DE" w:rsidRPr="001436DE" w:rsidRDefault="001436DE" w:rsidP="001436DE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:rsidR="001436DE" w:rsidRPr="001436DE" w:rsidRDefault="001436DE" w:rsidP="001436DE">
      <w:pPr>
        <w:numPr>
          <w:ilvl w:val="0"/>
          <w:numId w:val="2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proofErr w:type="spellStart"/>
      <w:r w:rsidRPr="001436DE">
        <w:rPr>
          <w:rFonts w:ascii="Hind" w:eastAsia="Times New Roman" w:hAnsi="Hind" w:cs="Times New Roman"/>
          <w:color w:val="000000"/>
          <w:lang w:eastAsia="pl-PL"/>
        </w:rPr>
        <w:t>focus</w:t>
      </w:r>
      <w:proofErr w:type="spellEnd"/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 wokół elementów nawigacyjnych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lastRenderedPageBreak/>
        <w:t>Data sporządzenia deklaracji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Deklarację sporządzono dnia 2020-09-29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Osoba do kontaktu w sprawie dostępności: Aleksander Kowal 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e-mail: </w:t>
      </w:r>
      <w:hyperlink r:id="rId7" w:history="1">
        <w:r w:rsidRPr="001436DE">
          <w:rPr>
            <w:rFonts w:ascii="Hind" w:eastAsia="Times New Roman" w:hAnsi="Hind" w:cs="Times New Roman"/>
            <w:color w:val="072A60"/>
            <w:u w:val="single"/>
            <w:lang w:eastAsia="pl-PL"/>
          </w:rPr>
          <w:t>akowal@starysacz.um.gov.pl</w:t>
        </w:r>
      </w:hyperlink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  <w:r w:rsidRPr="001436DE">
        <w:rPr>
          <w:rFonts w:ascii="Hind" w:eastAsia="Times New Roman" w:hAnsi="Hind" w:cs="Times New Roman"/>
          <w:color w:val="000000"/>
          <w:lang w:eastAsia="pl-PL"/>
        </w:rPr>
        <w:br/>
        <w:t>Telefon: +48 18 449 7750</w:t>
      </w:r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8" w:tgtFrame="_blank" w:tooltip="Oficjalna strona Rzecznika Praw Obywatelskich" w:history="1">
        <w:r w:rsidRPr="001436DE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:rsidR="001436DE" w:rsidRPr="001436DE" w:rsidRDefault="001436DE" w:rsidP="001436DE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:rsidR="001436DE" w:rsidRPr="001436DE" w:rsidRDefault="001436DE" w:rsidP="001436DE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Z uwagi na ograniczenia architektoniczne siedziba Urzędu Miejskiego w Starym Sączu nie spełnia wymagań ustawy z dnia 19 lipca 2019 r. o zapewnieniu dostępności osobom ze szczególnymi potrzebami.</w:t>
      </w:r>
    </w:p>
    <w:p w:rsidR="001436DE" w:rsidRPr="001436DE" w:rsidRDefault="001436DE" w:rsidP="001436DE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do budynku prowadzą dwa wejścia. Pierwsze główne od ul. Stefana Batorego 25, drugie od strony podwórka wyposażone jest w podjazd umożliwiający osobom niepełnosprawnym dostęp do budynku Urzędu ( tylko parter ),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wydzielone zostało jedno miejsca parkingowe przy budynku oraz 4 miejsca na pobliskim parkingu,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na parterze znajduje się Punkt Obsługi Mieszkańców, dla osób poruszających się na wózku dostępny jest korytarz i pomieszczenia na parterze,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w celu załatwienia sprawy urzędowej pracownik merytoryczny Urzędu schodzi do osoby niepełnosprawnej,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w formie wizualnej, brak oznaczeń w alfabecie Brajla i w druku powiększonym dla osób niewidomych i słabowidzących,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toaleta dla osób niepełnosprawnych znajduje się na parterze,</w:t>
      </w:r>
    </w:p>
    <w:p w:rsidR="001436DE" w:rsidRPr="001436DE" w:rsidRDefault="001436DE" w:rsidP="001436DE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do wszystkich pomieszczeń służbowych w budynku można wejść z psem  asystującym lub psem przewodnikiem,</w:t>
      </w:r>
    </w:p>
    <w:p w:rsidR="00B51AA2" w:rsidRDefault="00B51AA2">
      <w:bookmarkStart w:id="0" w:name="_GoBack"/>
      <w:bookmarkEnd w:id="0"/>
    </w:p>
    <w:sectPr w:rsidR="00B51AA2" w:rsidSect="0064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2CA"/>
    <w:multiLevelType w:val="multilevel"/>
    <w:tmpl w:val="9EFE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926545"/>
    <w:multiLevelType w:val="multilevel"/>
    <w:tmpl w:val="B51E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36DE"/>
    <w:rsid w:val="000753B0"/>
    <w:rsid w:val="001436DE"/>
    <w:rsid w:val="003067F3"/>
    <w:rsid w:val="006444A3"/>
    <w:rsid w:val="00B51AA2"/>
    <w:rsid w:val="00E26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3"/>
  </w:style>
  <w:style w:type="paragraph" w:styleId="Nagwek2">
    <w:name w:val="heading 2"/>
    <w:basedOn w:val="Normalny"/>
    <w:link w:val="Nagwek2Znak"/>
    <w:uiPriority w:val="9"/>
    <w:qFormat/>
    <w:rsid w:val="00143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436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36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36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36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wal@starysacz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tarysacz.um.gov.pl" TargetMode="External"/><Relationship Id="rId5" Type="http://schemas.openxmlformats.org/officeDocument/2006/relationships/hyperlink" Target="https://bip.malopolska.pl/starysa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Śmierciak</dc:creator>
  <cp:lastModifiedBy>user</cp:lastModifiedBy>
  <cp:revision>2</cp:revision>
  <dcterms:created xsi:type="dcterms:W3CDTF">2021-02-17T06:17:00Z</dcterms:created>
  <dcterms:modified xsi:type="dcterms:W3CDTF">2021-02-17T06:17:00Z</dcterms:modified>
</cp:coreProperties>
</file>